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DD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方正小标宋_GBK" w:hAnsi="华文中宋" w:eastAsia="方正小标宋_GBK" w:cs="华文中宋"/>
          <w:color w:val="000000"/>
          <w:sz w:val="44"/>
          <w:szCs w:val="44"/>
        </w:rPr>
      </w:pPr>
      <w:bookmarkStart w:id="0" w:name="_Hlk71448534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  <w:bookmarkStart w:id="1" w:name="_Hlk71467506"/>
    </w:p>
    <w:p w14:paraId="51088C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D2E88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届陕西省博士后创新创业大赛</w:t>
      </w:r>
    </w:p>
    <w:p w14:paraId="023B60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参赛条件</w:t>
      </w:r>
    </w:p>
    <w:bookmarkEnd w:id="0"/>
    <w:bookmarkEnd w:id="1"/>
    <w:p w14:paraId="74CCF05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</w:p>
    <w:p w14:paraId="7A4AFF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创新赛</w:t>
      </w:r>
    </w:p>
    <w:p w14:paraId="49CAFC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参赛项目须同时具备以下条件：</w:t>
      </w:r>
    </w:p>
    <w:p w14:paraId="3A346D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项目团队总人数不超过8人，其中核心团队成员不超过3人，团队成员之间有合作基础。核心成员至少有1人为出站8年内的博士后研究人员或在我省博士后科研流动站、博士后科研工作站、省博士后创新基地中从事科研工作的在站博士后研究人员。</w:t>
      </w:r>
    </w:p>
    <w:p w14:paraId="55EC178D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1680"/>
        <w:textAlignment w:val="auto"/>
        <w:rPr>
          <w:rFonts w:hint="eastAsia" w:asci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color w:val="000000"/>
          <w:szCs w:val="32"/>
        </w:rPr>
        <w:t>）项目具有创新性，且截止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报名</w:t>
      </w:r>
      <w:r>
        <w:rPr>
          <w:rFonts w:hint="eastAsia" w:ascii="仿宋_GB2312" w:hAnsi="仿宋_GB2312" w:cs="仿宋_GB2312"/>
          <w:color w:val="000000"/>
          <w:szCs w:val="32"/>
        </w:rPr>
        <w:t>时参赛项目尚未在中华人民共和国行政区域内登记注册运营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。</w:t>
      </w:r>
    </w:p>
    <w:p w14:paraId="161142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）参赛项目所提出的成果、产品或服务符合国家法律法规和产业政策，且参赛者对参赛项目拥有合法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自主知识产权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或使用权，无知识产权纠纷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无违反竞业禁止、保密约定等情况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 w14:paraId="1E687D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二、创业赛</w:t>
      </w:r>
    </w:p>
    <w:p w14:paraId="5C18AE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参赛项目须同时具备以下条件：</w:t>
      </w:r>
    </w:p>
    <w:p w14:paraId="6CF178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以后至截止报名时已在陕西省内登记注册的初创型企业，该企业法定代表人或股东成员中至少有1名成员具有博士后经历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B9232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企业拥有创新性的产品、技术或商业模式，参赛项目领域与参赛人员的博士后研究领域有关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66710E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参赛项目具有商业开发价值、市场发展空间大，带动或促进就业效果明显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4F6380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企业发展符合国家法律法规和产业政策要求，经营规范，社会信誉良好，参赛项目无知识产权纠纷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73C1BC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三、有关要求</w:t>
      </w:r>
    </w:p>
    <w:p w14:paraId="675AA25A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1680"/>
        <w:textAlignment w:val="auto"/>
        <w:rPr>
          <w:rFonts w:hint="eastAsia" w:ascii="仿宋_GB2312" w:hAnsi="仿宋_GB2312" w:cs="仿宋_GB2312"/>
          <w:color w:val="00000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szCs w:val="32"/>
          <w:highlight w:val="none"/>
        </w:rPr>
        <w:t>（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）报名参赛人员须根据个人情况、参赛项目情况科学选择参赛组别和相应赛道报名参赛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组委会有权根据报名项目数量对赛道进行相应调整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。</w:t>
      </w:r>
    </w:p>
    <w:p w14:paraId="211A9B40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1680"/>
        <w:textAlignment w:val="auto"/>
        <w:rPr>
          <w:rFonts w:hint="eastAsia" w:ascii="仿宋_GB2312" w:hAnsi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）参赛项目和所有参赛团队成员均不得在两个赛事组别之间重复兼报，也不得在同一赛事组别里多次报名。</w:t>
      </w:r>
    </w:p>
    <w:p w14:paraId="2AB60592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1680"/>
        <w:textAlignment w:val="auto"/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已在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历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届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全国博士后创新创业大赛和陕西省博士后创新创业大赛</w:t>
      </w:r>
      <w:r>
        <w:rPr>
          <w:rFonts w:hint="eastAsia" w:ascii="仿宋_GB2312" w:hAnsi="仿宋_GB2312" w:cs="仿宋_GB2312"/>
          <w:color w:val="000000"/>
          <w:szCs w:val="32"/>
          <w:highlight w:val="none"/>
        </w:rPr>
        <w:t>中获金、银、铜奖的项目不再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重复报名同一组别的比赛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项目有重大技术突破的，需提供相关证明材料报各设站单位并经组委会审核确认后的除外），创新赛获奖项目实现产业化、注册企业的可报名参加创业赛。</w:t>
      </w:r>
    </w:p>
    <w:p w14:paraId="1F00B480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1680"/>
        <w:textAlignment w:val="auto"/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highlight w:val="none"/>
          <w:lang w:val="en-US" w:eastAsia="zh-CN"/>
        </w:rPr>
        <w:t>（四）支持已报名第三届全国博士后创新创业大赛的博士后项目或团队（个人）参赛。</w:t>
      </w:r>
    </w:p>
    <w:p w14:paraId="2F7D9922">
      <w:pPr>
        <w:keepNext w:val="0"/>
        <w:keepLines w:val="0"/>
        <w:pageBreakBefore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sz w:val="21"/>
          <w:szCs w:val="21"/>
        </w:rPr>
      </w:pP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28D161-217C-40FC-B821-955CAFA872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A1F0AA-9C1D-4FDF-84AE-7FAECEC79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F43C787-2FE2-486A-B51A-F66546D88D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6C731C-C194-4BE7-BD78-2E9F1F2D90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1ABB3EE-7D19-46BB-B5CE-6812C5F67C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0150D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6478</Words>
  <Characters>6753</Characters>
  <Lines>0</Lines>
  <Paragraphs>0</Paragraphs>
  <TotalTime>14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2025-07-02T03:31:35Z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